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317FF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SC000174/2021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bookmarkStart w:id="0" w:name="_GoBack" w:colFirst="0" w:colLast="2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02/02/2021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MR066709/2020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19964.101176/2021-51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317F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27/01/2021 </w:t>
                        </w:r>
                      </w:p>
                    </w:tc>
                  </w:tr>
                  <w:bookmarkEnd w:id="0"/>
                </w:tbl>
                <w:p w:rsidR="00000000" w:rsidRDefault="004317FF">
                  <w:pPr>
                    <w:rPr>
                      <w:rFonts w:eastAsia="Times New Roman"/>
                    </w:rPr>
                  </w:pPr>
                </w:p>
                <w:p w:rsidR="00000000" w:rsidRDefault="004317FF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4317FF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SEARA ALIMENTOS LTDA, CNPJ n. 02.914.460/0188-74, neste ato representado(a) por seu Procurador, Sr(a). DANIEL BRINCKMANN e por seu Procurador, Sr(a). OLAVIO LEPPER;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NDICATO DOS TRABALHADORES NAS INDUSTRIAS DA ALIMENTACAO, EM COOPERATIVAS, AGROINDUSTRIAS E INDUSTRIAS NO MEIO RURAL DE CONCORDIA E REGIAO, CNPJ n. 03.107.073/0001-75, neste ato representado(a) por seu Presidente, Sr(a). JAIR BALLER;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julho de 2020 a 30 de j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unho de 2021 e a data-base da categoria em 01º de julho.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Trabalhadores da Empresa Seara Alimentos Ltd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Ipumirim/SC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Ficam assegurados aos empregados abrangidos por este Acordo os seguintes pisos salariais: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color w:val="000000"/>
                    </w:rPr>
                    <w:t>SALÁRIO INICIAL: V</w:t>
                  </w:r>
                  <w:r>
                    <w:rPr>
                      <w:rFonts w:ascii="Arial" w:hAnsi="Arial" w:cs="Arial"/>
                      <w:color w:val="000000"/>
                    </w:rPr>
                    <w:t>á</w:t>
                  </w:r>
                  <w:r>
                    <w:rPr>
                      <w:rFonts w:ascii="Arial" w:hAnsi="Arial" w:cs="Arial"/>
                      <w:color w:val="000000"/>
                    </w:rPr>
                    <w:t>lido na admissão sob contrato de experiência, o valor será de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Style w:val="Forte"/>
                      <w:rFonts w:ascii="Arial" w:hAnsi="Arial" w:cs="Arial"/>
                    </w:rPr>
                    <w:t xml:space="preserve">R$ 1.233,78 </w:t>
                  </w:r>
                  <w:r>
                    <w:rPr>
                      <w:rFonts w:ascii="Arial" w:hAnsi="Arial" w:cs="Arial"/>
                    </w:rPr>
                    <w:t>(um mil duzentos e trinta e três reais e setenta e oito centavos), valido a partir de julho de 2020.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color w:val="000000"/>
                    </w:rPr>
                    <w:t>SALÁRIO DE EFETIVAÇÃO: V</w:t>
                  </w:r>
                  <w:r>
                    <w:rPr>
                      <w:rFonts w:ascii="Arial" w:hAnsi="Arial" w:cs="Arial"/>
                      <w:color w:val="000000"/>
                    </w:rPr>
                    <w:t>álido após 90 (noventa) dias do contrato por prazo dete</w:t>
                  </w:r>
                  <w:r>
                    <w:rPr>
                      <w:rFonts w:ascii="Arial" w:hAnsi="Arial" w:cs="Arial"/>
                      <w:color w:val="000000"/>
                    </w:rPr>
                    <w:t>rminado, na efetivação será de </w:t>
                  </w:r>
                  <w:r>
                    <w:rPr>
                      <w:rStyle w:val="Forte"/>
                      <w:rFonts w:ascii="Arial" w:hAnsi="Arial" w:cs="Arial"/>
                      <w:color w:val="000000"/>
                    </w:rPr>
                    <w:t xml:space="preserve">R$ 1.331,00 </w:t>
                  </w:r>
                  <w:r>
                    <w:rPr>
                      <w:rFonts w:ascii="Arial" w:hAnsi="Arial" w:cs="Arial"/>
                      <w:color w:val="000000"/>
                    </w:rPr>
                    <w:t>(um mil trezentos e trinta e um reais</w:t>
                  </w:r>
                  <w:r>
                    <w:rPr>
                      <w:rFonts w:ascii="Arial" w:hAnsi="Arial" w:cs="Arial"/>
                    </w:rPr>
                    <w:t>), valido a partir de julho de 2020.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color w:val="000000"/>
                    </w:rPr>
                    <w:t xml:space="preserve">Parágrafo Primeiro: </w:t>
                  </w:r>
                  <w:r>
                    <w:rPr>
                      <w:rFonts w:ascii="Arial" w:hAnsi="Arial" w:cs="Arial"/>
                      <w:color w:val="000000"/>
                    </w:rPr>
                    <w:t>Entende-se por piso salarial de efetivação aquele que vier a ser pago após o cumprimento do prazo de que trata o pará</w:t>
                  </w:r>
                  <w:r>
                    <w:rPr>
                      <w:rFonts w:ascii="Arial" w:hAnsi="Arial" w:cs="Arial"/>
                      <w:color w:val="000000"/>
                    </w:rPr>
                    <w:t>grafo 2° do art. 443, da CLT, combinado com o Parágrafo Único do art. 445, também da CLT.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000000" w:rsidRDefault="004317FF">
                  <w:pPr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color w:val="000000"/>
                    </w:rPr>
                    <w:t>Parágrafo Segundo</w:t>
                  </w:r>
                  <w:r>
                    <w:rPr>
                      <w:rFonts w:ascii="Arial" w:hAnsi="Arial" w:cs="Arial"/>
                      <w:color w:val="000000"/>
                    </w:rPr>
                    <w:t>: Excluem-se desta cláusula os menores aprendizes, na forma da Lei.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REAJUSTE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 emp</w:t>
                  </w:r>
                  <w:r>
                    <w:rPr>
                      <w:rFonts w:ascii="Arial" w:hAnsi="Arial" w:cs="Arial"/>
                      <w:color w:val="000000"/>
                    </w:rPr>
                    <w:t>resa concederá, em 1º de julho de 2020, reajuste salarial aos  empregados abrangidos pela representação sindical acordante, mediante a aplicação do percentual de um reajuste salarial equivalente</w:t>
                  </w:r>
                  <w:r>
                    <w:rPr>
                      <w:rFonts w:ascii="Arial" w:hAnsi="Arial" w:cs="Arial"/>
                    </w:rPr>
                    <w:t> 2,35% (dois vírgula trinta e cinco por cento) , utilizando-se</w:t>
                  </w:r>
                  <w:r>
                    <w:rPr>
                      <w:rFonts w:ascii="Arial" w:hAnsi="Arial" w:cs="Arial"/>
                    </w:rPr>
                    <w:t xml:space="preserve"> como base o salário vigente em 30 de junho de 2020. Sendo facultada a compensação de todas as antecipações legais e/ou espontâneas, concedidas desde 1º de julho de 2019.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</w:rPr>
                    <w:t>Parágrafo Primeiro: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As condições de reajuste dos salá</w:t>
                  </w:r>
                  <w:r>
                    <w:rPr>
                      <w:rFonts w:ascii="Arial" w:hAnsi="Arial" w:cs="Arial"/>
                      <w:color w:val="000000"/>
                    </w:rPr>
                    <w:t>rios aqui estabelecidas, englobam, atendem e extinguem todos os interesses de atualização salarial, ocorrentes nesta revisão.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</w:rPr>
                    <w:t>Parágrafo Segundo: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 reajustamento e aumento salarial dos empregados admitidos após a data-base obedecerão aos seguintes critéri</w:t>
                  </w:r>
                  <w:r>
                    <w:rPr>
                      <w:rFonts w:ascii="Arial" w:hAnsi="Arial" w:cs="Arial"/>
                      <w:color w:val="000000"/>
                    </w:rPr>
                    <w:t>os: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ind w:left="720" w:hanging="36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rPr>
                      <w:rFonts w:ascii="Arial" w:hAnsi="Arial" w:cs="Arial"/>
                      <w:color w:val="000000"/>
                    </w:rPr>
                    <w:t>   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sobre os salários de admissão de empregados admitidos em funções com paradigma, será aplicado o mesmo percentual de reajustamento concedido ao paradigma, desde  que não ultrapasse o menor salário da função;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ind w:left="720" w:hanging="36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</w:t>
                  </w:r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rPr>
                      <w:rFonts w:ascii="Arial" w:hAnsi="Arial" w:cs="Arial"/>
                      <w:color w:val="000000"/>
                    </w:rPr>
                    <w:t>   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sobre os salários de admissão d</w:t>
                  </w:r>
                  <w:r>
                    <w:rPr>
                      <w:rFonts w:ascii="Arial" w:hAnsi="Arial" w:cs="Arial"/>
                      <w:color w:val="000000"/>
                    </w:rPr>
                    <w:t>e empregados admitidos em funções sem paradigma e de admitidos após a data-base, deverão ser aplicados percentuais proporcionais ao tempo de serviço, considerando-se, também, como mês de serviço, as frações superiores a 15 (quinze) dias.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ind w:left="72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</w:rPr>
                    <w:t>Parágrafo Terc</w:t>
                  </w:r>
                  <w:r>
                    <w:rPr>
                      <w:rStyle w:val="Forte"/>
                      <w:rFonts w:ascii="Arial" w:hAnsi="Arial" w:cs="Arial"/>
                    </w:rPr>
                    <w:t>eiro:</w:t>
                  </w:r>
                  <w:r>
                    <w:rPr>
                      <w:rFonts w:ascii="Arial" w:hAnsi="Arial" w:cs="Arial"/>
                    </w:rPr>
                    <w:t>A presente cláusula não contempla os cargos Gerenciais, de Direção, Coordenação e Supervisão da estrutura de cargos da Empresa, os quais são regidos pela Política Salarial dos Executivos da JBS S.A. – Matriz – SP.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SALÁRIO PROMOÇÃO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Ao empregado promovido, será assegurado o salário inicial do cargo, observado a estrutura de Cargos e Salários vigente da Empresa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RECIBOS DE PAGAMENTOS DE SALÁRIOS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 empresa fornecerá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aos seus empregados demonstrativos de pagamentos de salários, especificando a natureza dos pagamentos e descontos efetivados assim como a contribuição para o FGTS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Descontos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AUTORIZAÇÃO PARA DESCONTOS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 empresa poderá de</w:t>
                  </w:r>
                  <w:r>
                    <w:rPr>
                      <w:rFonts w:ascii="Arial" w:hAnsi="Arial" w:cs="Arial"/>
                      <w:color w:val="000000"/>
                    </w:rPr>
                    <w:t>scontar dos haveres de seus empregados, além dos descontos legais e desde que expressamente autorizados, aqueles decorrentes de convênios mantidos pela empresa, ou de produtos adquiridos pelo empregado junto à empresa, bem como despesas de assistência médi</w:t>
                  </w:r>
                  <w:r>
                    <w:rPr>
                      <w:rFonts w:ascii="Arial" w:hAnsi="Arial" w:cs="Arial"/>
                      <w:color w:val="000000"/>
                    </w:rPr>
                    <w:t>co-odontológica, mensalidade sindical, exames de laboratório, farmácia, alimentação, vestuário, eletrodomésticos, moradia, água, luz, telefone, transporte, de seguros de vida, plano de previdência privada, empréstimos com cooperativa de crédito ou outro ag</w:t>
                  </w:r>
                  <w:r>
                    <w:rPr>
                      <w:rFonts w:ascii="Arial" w:hAnsi="Arial" w:cs="Arial"/>
                      <w:color w:val="000000"/>
                    </w:rPr>
                    <w:t>ente financeiro, mensalidades de associação de funcionários e de sociedades esportivas e recreativas</w:t>
                  </w:r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MORA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 Empresa pagará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aos empregados prejudicados, 5% (cinco por cento) sobre os salários vencidos, a título de mora salarial. Constitui-se mora salarial o atraso no pagamento dos salários, no que exceder ao 5º dia útil do mês subseqüente.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Gratificações, Adicionais, Auxílios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PRÊMIO PERMANÊNCIA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</w:rPr>
                    <w:t>A empresa pagará, a partir de 01 de julho de 2020 aos empregados pertencentes a categoria profissional a título de Prêmio Permanência, o adicional de 3% (três por cento), ap</w:t>
                  </w:r>
                  <w:r>
                    <w:rPr>
                      <w:rFonts w:ascii="Arial" w:hAnsi="Arial" w:cs="Arial"/>
                    </w:rPr>
                    <w:t xml:space="preserve">licável sobre o salário base do empregado, até o limite de </w:t>
                  </w:r>
                  <w:r>
                    <w:rPr>
                      <w:rStyle w:val="Forte"/>
                      <w:rFonts w:ascii="Arial" w:hAnsi="Arial" w:cs="Arial"/>
                    </w:rPr>
                    <w:t xml:space="preserve">R$ 2.036,77 </w:t>
                  </w:r>
                  <w:r>
                    <w:rPr>
                      <w:rFonts w:ascii="Arial" w:hAnsi="Arial" w:cs="Arial"/>
                    </w:rPr>
                    <w:t>(dois mil e trinta e seis reais e setenta e sete centavos) , para cada período completo de 5 (cinco) anos de trabalho ininterruptos na mesma empresa.</w:t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</w:rPr>
                    <w:t>Parágrafo Primeiro: </w:t>
                  </w:r>
                  <w:r>
                    <w:rPr>
                      <w:rFonts w:ascii="Arial" w:hAnsi="Arial" w:cs="Arial"/>
                    </w:rPr>
                    <w:t>O Prêmio Perman</w:t>
                  </w:r>
                  <w:r>
                    <w:rPr>
                      <w:rFonts w:ascii="Arial" w:hAnsi="Arial" w:cs="Arial"/>
                    </w:rPr>
                    <w:t>ência, previsto no “caput” da presente cláusula, somente será devido quando o empregado tiver completado cada período de 5 (cinco) anos de trabalho ininterruptos na mesma empresa, o qual será pago a partir do primeiro dia útil do mês subsequente ao vencime</w:t>
                  </w:r>
                  <w:r>
                    <w:rPr>
                      <w:rFonts w:ascii="Arial" w:hAnsi="Arial" w:cs="Arial"/>
                    </w:rPr>
                    <w:t>nto dos 5 (cinco) anos.</w:t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</w:rPr>
                    <w:t>Parágrafo Segundo: </w:t>
                  </w:r>
                  <w:r>
                    <w:rPr>
                      <w:rFonts w:ascii="Arial" w:hAnsi="Arial" w:cs="Arial"/>
                    </w:rPr>
                    <w:t>O limite máximo de concessões do Prêmio Permanência, será de 3 (três) Prêmios Permanência ou seja de 9% (nove por cento) do salário base do empregado elegível com 15 (quinze) anos ou mais de  trabalho ininterrupto</w:t>
                  </w:r>
                  <w:r>
                    <w:rPr>
                      <w:rFonts w:ascii="Arial" w:hAnsi="Arial" w:cs="Arial"/>
                    </w:rPr>
                    <w:t xml:space="preserve">s na mesma empresa, limitado ao valor de </w:t>
                  </w:r>
                  <w:r>
                    <w:rPr>
                      <w:rStyle w:val="Forte"/>
                      <w:rFonts w:ascii="Arial" w:hAnsi="Arial" w:cs="Arial"/>
                    </w:rPr>
                    <w:t xml:space="preserve">R$ 183,31 </w:t>
                  </w:r>
                  <w:r>
                    <w:rPr>
                      <w:rFonts w:ascii="Arial" w:hAnsi="Arial" w:cs="Arial"/>
                    </w:rPr>
                    <w:t>(cento e oitenta e três reais e trinta e um centavos).</w:t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</w:rPr>
                    <w:t>Parágrafo Terceiro: </w:t>
                  </w:r>
                  <w:r>
                    <w:rPr>
                      <w:rFonts w:ascii="Arial" w:hAnsi="Arial" w:cs="Arial"/>
                    </w:rPr>
                    <w:t>Não será devido o Prêmio Permanência previsto no “caput” da presente cláusula aos cargos Gerenciais, de Direção, Coordenação e Sup</w:t>
                  </w:r>
                  <w:r>
                    <w:rPr>
                      <w:rFonts w:ascii="Arial" w:hAnsi="Arial" w:cs="Arial"/>
                    </w:rPr>
                    <w:t>ervisão da estrutura de cargos da Empresa.</w:t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</w:rPr>
                    <w:t>Parágrafo Quarto: </w:t>
                  </w:r>
                  <w:r>
                    <w:rPr>
                      <w:rFonts w:ascii="Arial" w:hAnsi="Arial" w:cs="Arial"/>
                    </w:rPr>
                    <w:t>O Prêmio Permanência previsto no “caput” da presente cláusula, não será integrado para base de cálculo de horas extras, adicional noturno, periculosidade e/ou outras vantagens pessoais.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Auxílio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AUXILIO ALIMENTAÇÃO- CESTA BÁSICA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Durante a vigência desse Acordo a empresa concederá  12 (doze) cestas de produtos da empresa a todos os seus empregados abrangidos por este Acordo Coletivo de Trabalho, no valor de </w:t>
                  </w:r>
                  <w:r>
                    <w:rPr>
                      <w:rStyle w:val="Forte"/>
                      <w:rFonts w:ascii="Arial" w:hAnsi="Arial" w:cs="Arial"/>
                      <w:color w:val="000000"/>
                    </w:rPr>
                    <w:t>R$ 1</w:t>
                  </w:r>
                  <w:r>
                    <w:rPr>
                      <w:rStyle w:val="Forte"/>
                      <w:rFonts w:ascii="Arial" w:hAnsi="Arial" w:cs="Arial"/>
                      <w:color w:val="000000"/>
                    </w:rPr>
                    <w:t xml:space="preserve">00,00 </w:t>
                  </w:r>
                  <w:r>
                    <w:rPr>
                      <w:rFonts w:ascii="Arial" w:hAnsi="Arial" w:cs="Arial"/>
                      <w:color w:val="000000"/>
                    </w:rPr>
                    <w:t>(cem reais</w:t>
                  </w:r>
                  <w:r>
                    <w:rPr>
                      <w:rFonts w:ascii="Arial" w:hAnsi="Arial" w:cs="Arial"/>
                    </w:rPr>
                    <w:t>).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color w:val="000000"/>
                    </w:rPr>
                    <w:t>Parágrafo Único: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Por tratar-se de benefício concedido de acordo com os critérios do PAT (Programa de Alimentação do Trabalhador), não integra a remuneração do empregado para qualquer efeito.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PRIMEIRA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 empresa efetuará contrato de seguro de vida em grupo para todos os empregados, com co-participação dos mesmos nos custos da apólice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Desligamento/Demissão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CIMA SEGUNDA - DISPENSA POR JUSTA CAUSA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Nas rescisões de contrato de trabalho por justa causa, a empresa comunicará o empregado e o Sindicato por escrito, fundamentando o motivo, sob pena de não poder alegar falta grave em juízo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CIMA TERCEIRA - RESCISÕES CONTRATUAIS E PAGAMENTOS DE VERBAS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 pagamento das verbas rescisórias dos empregados sindicalizados e com 9 (nove) ou mais meses de serviço, deverá contar com a assistência do Sindicato. O pagamento das verbas rescisórias dev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erá ocorrer no prazo de até 10 (dez) dias corridos, sob pena de incidir multa de 5% (cinco por cento) sobre o valor das verbas, em favor do empregado. Quando do não comparecimento do empregado para recebimento das verbas rescisórias, o Sindicato deverá for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necer a Empresa justificativa por escrito.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DISPENSA DO CUMPRIMENTO DO AVISO-PRÉVIO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O empregado que, no curso do aviso-prévio concedido pelo empregador ou pelo empregado, comprovar a obtenção de novo emprego,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ficará dispensado do cumprimento do restante do prazo, sem prejuízo dos seus direitos rescisórios, que, todavia, serão calculados apenas até a data do seu efetivo desligamento da empresa, salvo empregados de áreas administrativas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Condições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Transferência setor/empresa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RECRUTAMENTO INTERNO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 Empresa dará prioridade, através de avaliações e critérios próprios, no aproveitamento dos empregados para ocupaçã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 de cargos, em especial aos concluintes de segundo e terceiro graus e dos cursos técnicos profissionalizantes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Geral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GARANTIAS ESPECIAIS DE EMPREGO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Será garantido o emprego nas seguintes condições: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a) Ao empr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egado afastado por motivo de acidente de trabalho, durante 12 (doze) meses que sucederem a cessação do auxílio-doença acidentário.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b) Aos empregados optantes pelo FGTS, com mais de 10 (dez) anos de serviços consecutivos na Empresa, durante 18 (dezoito) m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eses que antecederem o tempo mínimo necessário para a aquisição ao direito a aposentadoria por tempo de serviço, desde que haja comunicação escrita do empregado comprovando o fato a empresa.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ind w:left="1134" w:hanging="141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b.1) A garantia estabelecida nesta cláusula não se aplica nos cas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os de demissão por justa causa, de rescisão por iniciativa do empregado, contrato por prazo determinado e de rescisão por acordo entre as partes.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ind w:left="1134" w:hanging="141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b.2) Não se aplica, igualmente, a presente cláusula, quando alteração da legislação específica tiver alterado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ou vier a alterar os critérios da aposentadoria.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ind w:left="1134" w:hanging="141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317FF">
                  <w:pPr>
                    <w:ind w:hanging="141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 c) Ao empregado afastado por motivo de auxílio doença, que ficar afastado por período superior a 06 (seis) meses, este terá a estabilidade provisória ou indenização de trinta dias, a contar da data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 cessação do benefício junto a Previdência Social.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Prorrogação/Redução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HORAS EXTRAS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 horas extras serão remuneradas com o adicional de 50% (cin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quenta por cento), calculado sobre o salário-base do empregado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COMPENSAÇÃO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 Empresa poderá firmar Acordo Coletivo para compensação de horas nas seguintes condições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                 a) Qu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 o acordo seja feito por escrito.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                 b) Que em todos os Acordos Coletivos haja a participação do Sindicato.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                   c) As horas destinadas a compensação deverão ser registradas no ponto. 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NONA - COMPENSAÇÃ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 DE HORAS - CLT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Fica a empresa autorizada a compensar, mediante prorrogação da jornada nos demais dias da semana, observados os limites máximos estabelecidos pela CLT e 44 (quarenta e quatro) horas semanais, as horas não trabalhadas em qualquer dia da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semana, considerando-se inaplicável à hipótese o disposto no artigo 60 da CLT.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ESCALAS DE TRABALHO 12X36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0"/>
                      <w:szCs w:val="20"/>
                    </w:rPr>
                    <w:t>Parágrafo primeiro: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 empresa poderáestabelecer escala de trabalho: </w:t>
                  </w:r>
                  <w:r>
                    <w:rPr>
                      <w:rStyle w:val="Forte"/>
                      <w:rFonts w:ascii="Arial" w:hAnsi="Arial" w:cs="Arial"/>
                      <w:sz w:val="20"/>
                      <w:szCs w:val="20"/>
                    </w:rPr>
                    <w:t>12 X 36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(doze horas por trinta e seis horas), para os emp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regados nos setores de: Portaria e Balança. As horas trabalhadas no limite de 12 (doze, serão consideradas normais, sem qualquer adicional de hora extraordinária;</w:t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0"/>
                      <w:szCs w:val="20"/>
                    </w:rPr>
                    <w:t>Parágrafo segundo: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Fica assegurado também o intervalo para refeições de 1 (uma) hora;</w:t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0"/>
                      <w:szCs w:val="20"/>
                    </w:rPr>
                    <w:t>Parágra</w:t>
                  </w:r>
                  <w:r>
                    <w:rPr>
                      <w:rStyle w:val="Forte"/>
                      <w:rFonts w:ascii="Arial" w:hAnsi="Arial" w:cs="Arial"/>
                      <w:sz w:val="20"/>
                      <w:szCs w:val="20"/>
                    </w:rPr>
                    <w:t>fo terceiro: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Aos empregados que vieram a ser admitidos nas áreas abrangidas pela escala já terão seus contratos iniciados na escala de trabalho 12 X 36 (doze horas por trinta e seis horas);</w:t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Nos termos do inciso XIII do artigo 7º da Constituição Federal c/c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artigo 59 da CLT, fica a empresa autorizada a implementar o regime de trabalho: 12 X 36 (doze horas de trabalho por trinta e seis dias de descanso) nos setores de Portaria e Balança.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Controle da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PRIMEIRA - PONTO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SISTEMA EL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ETR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ÔNICO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 empresa poderá adotar sistema eletrônico de controle da jornada de trabalho, nos termos do art. 74, da CLT, e Portaria 373/2011, reconhecendo o empregado a jornada adotada, tacitamente, independentemente de assinatura, se não houver manifesta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ção em contrário, no prazo de 72 (setenta e duas) horas, após o recebimento do respectivo pagamento pelo empregado.</w:t>
                  </w:r>
                </w:p>
                <w:p w:rsidR="00000000" w:rsidRDefault="004317FF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:rsidR="00000000" w:rsidRDefault="004317FF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color w:val="000000"/>
                      <w:sz w:val="20"/>
                      <w:szCs w:val="20"/>
                    </w:rPr>
                    <w:t>Parágrafo Único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 A entidade sindical aprova o modelo de controle de ponto utilizado pela empresa, a qual segue todos os critérios previsto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 na Portaria 1510 e 373 ambas do Ministério do Trabalho e Emprego, dispensando a impressão diária do comprovante de ponto.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AUSÊNCIAS AO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 empregado poderá deixar de comparecer ao trabalho, sem prejuízo 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 salário, nas seguintes situações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                 a) Mediante aviso formal com, no mínimo, 72 (setenta e duas) horas de antecedência e desde que coincida com o horário de trabalho, serão abonadas as horas não trabalhadas pelo empregado, até o limite 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 6 (seis) faltas ano, para o fim de prestar exames supletivos ou de vestibular. Quando exceder este limite, o caso deverá ser analisado separadamente.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                 b) No tratamento médico fora do domicílio, de pessoa da família em primeiro grau e qu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 por recomendação médica, por escrito, necessite de acompanhamento, serão abonadas as ausências do empregado, até o limite de 2(duas) faltas mês.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                 c) No caso de falecimento de pais, filhos ou cônjuge, por até 2 (dois) dias consecutivos.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                 d) Na licença paternidade, por 5 (cinco) dias consecutivos.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                 e) No caso de casamento civil, por até 3 (três) dias consecutivos.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                 f) Serão abonadas as faltas nos termos do artigo 473 da CLT.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Equipamentos de Proteção Individual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EQUIPAMENTOS DE PROTEÇÃO E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 empresa representada fornecerá aos seus empregados, os equipamentos de proteção e segurança obrigató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rios nos termos da legislação específica sobre a higiene e segurança do trabalho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iCs w:val="0"/>
                      <w:color w:val="000000"/>
                      <w:sz w:val="20"/>
                      <w:szCs w:val="20"/>
                    </w:rPr>
                    <w:t> 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Fornecerá também, uniforme e seus acessórios, quando exigirem seu uso em serviço, sem que constitua tal fornecimento salário-utilidade;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iCs w:val="0"/>
                      <w:color w:val="000000"/>
                      <w:sz w:val="20"/>
                      <w:szCs w:val="20"/>
                    </w:rPr>
                    <w:t> 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 empregado se obriga ao uso, manu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tenção e limpeza adequada dos equipamentos e uniformes que receber, e a indenizar a empresa por extravio ou dano;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iCs w:val="0"/>
                      <w:color w:val="000000"/>
                      <w:sz w:val="20"/>
                      <w:szCs w:val="20"/>
                    </w:rPr>
                    <w:t> </w:t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Extinto ou rescindido seu contrato de trabalho, deverá o empregado devolver os equipamentos e os uniformes de seu uso e que continuam de pro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priedade da empresa.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CIPA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composi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elei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atribui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es, garantias aos cipeiros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ELEIÇÕES DA CIPA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 Empresa fornecerá ao Sindicato cópia dos documentos referentes ao processo de eleiçã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 dos representantes dos trabalhadores na CIPA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Acesso do Sindicato ao Local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ACESSO DOS DIRIGENTES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Fica garantido o acesso dos dirigentes sindicais até a sede da empresa, a fim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 contatar com os associados da entidade sindical profissional, bem como para encaminhar as reivindicações dos trabalhadores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Liberação de Empregados para Atividades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LIBERAÇÃO DE DIRIGENTES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Os dirigent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es sindicais serão liberados por até 12 (doze) dias por ano, sendo tal liberação remunerada, para que os mesmos participem em eventos da categoria, mediante comunicação expressa à Empresa, com antecedência mínima de 48 (quarenta e oito) horas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Acesso a 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nformações da 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RELAÇÃO DE EMPREGADOS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Empresa fornecerá ao sindicato uma relação de empregados, contendo: nome, cargo e data de admissão, sempre que for solicitado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Outras disposições sobre relação entre sindicato 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QUADRO MURAL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widowControl w:val="0"/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 Empresa manterá quadro mural. O Sindicato poderá fazer fixação de avisos, notas, editais e outros interesses da categoria, respeitando as leis vigentes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Descumprimento do Inst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PENALIDADES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tabs>
                      <w:tab w:val="left" w:pos="1134"/>
                    </w:tabs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Pelo não cumprimento das normas contidas neste Acordo Coletivo de Trabalho, haverá uma multa de 5% (cinco por cento) do valor de 1 (um) piso salarial, por infração a favor do empregado comprovadam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ente prejudicado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000000" w:rsidRDefault="004317FF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317FF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DANIEL BRINCKMANN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Procurador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SEARA ALIMENTOS LTDA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OLAVIO LEPPER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Procurador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SEARA ALIMENTOS LTDA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JAIR BALLER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>SINDICATO DOS TRABALHADORES NAS INDUSTRIAS DA ALIMENTACAO, EM COOPERATIVAS, AGROINDUSTRIAS E INDUSTR</w:t>
                        </w:r>
                        <w:r>
                          <w:rPr>
                            <w:rFonts w:eastAsia="Times New Roman"/>
                          </w:rPr>
                          <w:t xml:space="preserve">IAS NO MEIO RURAL DE CONCORDIA E REGIAO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4317F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317F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4317F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A autenticidade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4317FF">
            <w:pPr>
              <w:rPr>
                <w:rFonts w:eastAsia="Times New Roman"/>
              </w:rPr>
            </w:pPr>
          </w:p>
        </w:tc>
      </w:tr>
    </w:tbl>
    <w:p w:rsidR="004317FF" w:rsidRDefault="004317FF">
      <w:pPr>
        <w:rPr>
          <w:rFonts w:eastAsia="Times New Roman"/>
        </w:rPr>
      </w:pPr>
    </w:p>
    <w:sectPr w:rsidR="004317FF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533D9"/>
    <w:rsid w:val="004317FF"/>
    <w:rsid w:val="005F6E08"/>
    <w:rsid w:val="0085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A0F3C-E8E0-4BB2-BF55-A1875E9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before="100" w:beforeAutospacing="1" w:after="100" w:afterAutospacing="1"/>
    </w:p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Pr>
      <w:rFonts w:ascii="Consolas" w:eastAsiaTheme="minorEastAsia" w:hAnsi="Consolas"/>
      <w:sz w:val="21"/>
      <w:szCs w:val="21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66709_20202020_12_10T09_24_25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2710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Usuário do Windows</dc:creator>
  <cp:keywords/>
  <dc:description/>
  <cp:lastModifiedBy>Usuário do Windows</cp:lastModifiedBy>
  <cp:revision>2</cp:revision>
  <dcterms:created xsi:type="dcterms:W3CDTF">2021-02-04T12:49:00Z</dcterms:created>
  <dcterms:modified xsi:type="dcterms:W3CDTF">2021-02-04T12:49:00Z</dcterms:modified>
</cp:coreProperties>
</file>